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高等学校科技进步奖提名项目公示</w:t>
      </w:r>
    </w:p>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一、项目名称及提名单位</w:t>
      </w:r>
    </w:p>
    <w:tbl>
      <w:tblPr>
        <w:tblStyle w:val="5"/>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90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1"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9072" w:type="dxa"/>
          </w:tcPr>
          <w:p>
            <w:pPr>
              <w:pStyle w:val="9"/>
              <w:jc w:val="center"/>
              <w:rPr>
                <w:rFonts w:hint="eastAsia" w:ascii="仿宋" w:hAnsi="仿宋" w:eastAsia="仿宋" w:cs="仿宋"/>
                <w:sz w:val="28"/>
                <w:szCs w:val="28"/>
              </w:rPr>
            </w:pPr>
            <w:r>
              <w:rPr>
                <w:rFonts w:hint="eastAsia" w:ascii="仿宋" w:hAnsi="仿宋" w:eastAsia="仿宋" w:cs="仿宋"/>
                <w:sz w:val="28"/>
                <w:szCs w:val="28"/>
              </w:rPr>
              <w:t>原发性肝癌介入治疗的基础探索及临床应用研究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提名单位</w:t>
            </w:r>
          </w:p>
        </w:tc>
        <w:tc>
          <w:tcPr>
            <w:tcW w:w="9072" w:type="dxa"/>
          </w:tcPr>
          <w:p>
            <w:pPr>
              <w:jc w:val="center"/>
              <w:rPr>
                <w:rFonts w:hint="eastAsia" w:ascii="仿宋" w:hAnsi="仿宋" w:eastAsia="仿宋" w:cs="仿宋"/>
                <w:sz w:val="28"/>
                <w:szCs w:val="28"/>
              </w:rPr>
            </w:pPr>
            <w:r>
              <w:rPr>
                <w:rFonts w:hint="eastAsia" w:ascii="仿宋" w:hAnsi="仿宋" w:eastAsia="仿宋" w:cs="仿宋"/>
                <w:sz w:val="28"/>
                <w:szCs w:val="28"/>
              </w:rPr>
              <w:t>四川大学</w:t>
            </w:r>
          </w:p>
        </w:tc>
      </w:tr>
    </w:tbl>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二、主要完成人</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276"/>
        <w:gridCol w:w="1276"/>
        <w:gridCol w:w="1701"/>
        <w:gridCol w:w="1843"/>
        <w:gridCol w:w="42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排名</w:t>
            </w:r>
          </w:p>
        </w:tc>
        <w:tc>
          <w:tcPr>
            <w:tcW w:w="1276"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姓名</w:t>
            </w:r>
          </w:p>
        </w:tc>
        <w:tc>
          <w:tcPr>
            <w:tcW w:w="1276"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技术职称</w:t>
            </w:r>
          </w:p>
        </w:tc>
        <w:tc>
          <w:tcPr>
            <w:tcW w:w="1701"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工作单位</w:t>
            </w:r>
          </w:p>
        </w:tc>
        <w:tc>
          <w:tcPr>
            <w:tcW w:w="1843"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完成单位</w:t>
            </w:r>
          </w:p>
        </w:tc>
        <w:tc>
          <w:tcPr>
            <w:tcW w:w="4217" w:type="dxa"/>
            <w:vAlign w:val="center"/>
          </w:tcPr>
          <w:p>
            <w:pPr>
              <w:pStyle w:val="9"/>
              <w:jc w:val="center"/>
              <w:rPr>
                <w:rFonts w:asciiTheme="majorEastAsia" w:hAnsiTheme="majorEastAsia" w:eastAsiaTheme="majorEastAsia" w:cstheme="minorBidi"/>
                <w:b/>
                <w:bCs/>
                <w:color w:val="auto"/>
                <w:kern w:val="2"/>
                <w:sz w:val="20"/>
                <w:szCs w:val="20"/>
              </w:rPr>
            </w:pPr>
            <w:r>
              <w:rPr>
                <w:rFonts w:hint="eastAsia" w:asciiTheme="majorEastAsia" w:hAnsiTheme="majorEastAsia" w:eastAsiaTheme="majorEastAsia" w:cstheme="minorBidi"/>
                <w:b/>
                <w:bCs/>
                <w:color w:val="auto"/>
                <w:kern w:val="2"/>
                <w:sz w:val="20"/>
                <w:szCs w:val="20"/>
              </w:rPr>
              <w:t>对本项目主要科技创新的贡献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1</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贺庆</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副主任医师</w:t>
            </w:r>
          </w:p>
        </w:tc>
        <w:tc>
          <w:tcPr>
            <w:tcW w:w="1701"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四川大学</w:t>
            </w:r>
          </w:p>
        </w:tc>
        <w:tc>
          <w:tcPr>
            <w:tcW w:w="1843"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四川大学</w:t>
            </w:r>
          </w:p>
        </w:tc>
        <w:tc>
          <w:tcPr>
            <w:tcW w:w="4217"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全面参与本项目的实施和推广，对全部创新点（1,2,3,4,5,6）均作出重要贡献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2</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刘源</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副教授</w:t>
            </w:r>
          </w:p>
        </w:tc>
        <w:tc>
          <w:tcPr>
            <w:tcW w:w="1701"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成都中医药大学附属医院</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成都中医药大学附属医院</w:t>
            </w:r>
          </w:p>
        </w:tc>
        <w:tc>
          <w:tcPr>
            <w:tcW w:w="4217" w:type="dxa"/>
            <w:vAlign w:val="center"/>
          </w:tcPr>
          <w:p>
            <w:pPr>
              <w:pStyle w:val="9"/>
              <w:jc w:val="center"/>
              <w:rPr>
                <w:rFonts w:hint="eastAsia"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对本项目第 2、6 项创新点做了突出贡献，具体如下：创新性地将 p53 基因用于中晚期原发性肝癌的治疗，建立了临床单独/联合应用的具体技术路线。对射频、微波、冷冻等肝癌热消融手段全面评价，论证并提出了一种新的穿刺</w:t>
            </w:r>
          </w:p>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消融途径，用于解决膈下肝癌病灶的热消融困难的问题。对门静脉栓塞的理论基础、技术、应用范围做了明确评价。获得了 1 项实用新型专利，简单有效地解决了股动脉穿刺点压迫止血问题。发表论文 10 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3</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郑小华</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主任医师</w:t>
            </w:r>
          </w:p>
        </w:tc>
        <w:tc>
          <w:tcPr>
            <w:tcW w:w="1701"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成都市第六人民医院</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lang w:val="en-US" w:eastAsia="zh-CN"/>
              </w:rPr>
              <w:t>四川大学</w:t>
            </w:r>
          </w:p>
        </w:tc>
        <w:tc>
          <w:tcPr>
            <w:tcW w:w="4217"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对本成果创新点 5 的实施和推广做出重大贡献。 发表论文 3 篇，2 篇为SCI。在多层螺旋 CT 评价碘化油栓塞后肝癌区域血液供应领域的研究达到国内领先水平，其重要结论：与 LPTACE 术前相比,门静脉对肿瘤存活区的供血有增加多排螺旋 CT、碘油CT 和 DSA 在肝细胞肝癌术前检查中有同等重要的作用，被国内外同行多次参考以及引用。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4</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孙龙</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副教授</w:t>
            </w:r>
          </w:p>
        </w:tc>
        <w:tc>
          <w:tcPr>
            <w:tcW w:w="1701"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厦门大学附属第一医院</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厦门大学附属第一医院</w:t>
            </w:r>
          </w:p>
        </w:tc>
        <w:tc>
          <w:tcPr>
            <w:tcW w:w="4217"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对本项目创新点 2,4,5 的实施与推广做出重大贡献，培养研究生以及进修医生数十名，发表 SCI 论文 7 篇，多次在国内大会上发言。特别是在应用 PET-CT 对肝癌进行围手术期以及疗效评估领域的研究达到国内领先水平。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5</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杨林</w:t>
            </w:r>
          </w:p>
        </w:tc>
        <w:tc>
          <w:tcPr>
            <w:tcW w:w="1276" w:type="dxa"/>
            <w:vAlign w:val="center"/>
          </w:tcPr>
          <w:p>
            <w:pPr>
              <w:pStyle w:val="9"/>
              <w:jc w:val="center"/>
              <w:rPr>
                <w:rFonts w:hint="default"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教授</w:t>
            </w:r>
          </w:p>
        </w:tc>
        <w:tc>
          <w:tcPr>
            <w:tcW w:w="1701"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川北医学院附属医院</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川北医学院附属医院</w:t>
            </w:r>
          </w:p>
        </w:tc>
        <w:tc>
          <w:tcPr>
            <w:tcW w:w="4217"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对本项目第 1、2、5 创新点做了突出贡献，相关研究成果发表论文 25 篇，其中 SCI收录 3 篇，均以杨林主任医师为第 1 作者或通讯作者，并促进本项目研究成果的推广应用。主要科技创新点：原发性肝癌在 TACE 治疗后病灶血流灌注显著改变；CT 灌注参数，MRI 弥散成像参数（ADC，D，f 值等），肿瘤血管生成相关因子 VEGF 及 HIF-1α 水平改变，并可以作为观察肝癌 TACE 治疗反应指标，用于临床治疗疗效的检测和治疗方案的选择。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6</w:t>
            </w:r>
          </w:p>
        </w:tc>
        <w:tc>
          <w:tcPr>
            <w:tcW w:w="1276"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李肖</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教授</w:t>
            </w:r>
          </w:p>
        </w:tc>
        <w:tc>
          <w:tcPr>
            <w:tcW w:w="1701"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中国医学科学院肿瘤医院</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lang w:val="en-US" w:eastAsia="zh-CN"/>
              </w:rPr>
              <w:t>四川大学</w:t>
            </w:r>
          </w:p>
        </w:tc>
        <w:tc>
          <w:tcPr>
            <w:tcW w:w="4217" w:type="dxa"/>
            <w:vAlign w:val="center"/>
          </w:tcPr>
          <w:p>
            <w:pPr>
              <w:pStyle w:val="9"/>
              <w:jc w:val="center"/>
              <w:rPr>
                <w:rFonts w:hint="eastAsia"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对创新点 1,2,5 作出重要贡献，申报自然科学基金一项，发表论文 9 篇，其中 SCI6 篇，积极推广本研究成果，并培养研究生数名。文献</w:t>
            </w:r>
          </w:p>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“N-nitrosodiethylamine-induced pig liver hepatocellular carcinoma model:</w:t>
            </w:r>
            <w:r>
              <w:rPr>
                <w:rFonts w:hint="eastAsia" w:asciiTheme="majorEastAsia" w:hAnsiTheme="majorEastAsia" w:eastAsiaTheme="majorEastAsia" w:cstheme="minorBidi"/>
                <w:color w:val="auto"/>
                <w:kern w:val="2"/>
                <w:sz w:val="20"/>
                <w:szCs w:val="20"/>
                <w:lang w:val="en-US" w:eastAsia="zh-CN"/>
              </w:rPr>
              <w:t xml:space="preserve"> </w:t>
            </w:r>
            <w:r>
              <w:rPr>
                <w:rFonts w:hint="eastAsia" w:asciiTheme="majorEastAsia" w:hAnsiTheme="majorEastAsia" w:eastAsiaTheme="majorEastAsia" w:cstheme="minorBidi"/>
                <w:color w:val="auto"/>
                <w:kern w:val="2"/>
                <w:sz w:val="20"/>
                <w:szCs w:val="20"/>
              </w:rPr>
              <w:t>Radiological and histopathological studies.”，在猪肝癌模型的建立领域达到国际先进水平。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7</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官泳松</w:t>
            </w:r>
          </w:p>
        </w:tc>
        <w:tc>
          <w:tcPr>
            <w:tcW w:w="1276" w:type="dxa"/>
            <w:vAlign w:val="center"/>
          </w:tcPr>
          <w:p>
            <w:pPr>
              <w:pStyle w:val="9"/>
              <w:jc w:val="center"/>
              <w:rPr>
                <w:rFonts w:hint="eastAsia"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主任医师</w:t>
            </w:r>
          </w:p>
        </w:tc>
        <w:tc>
          <w:tcPr>
            <w:tcW w:w="1701" w:type="dxa"/>
            <w:vAlign w:val="center"/>
          </w:tcPr>
          <w:p>
            <w:pPr>
              <w:pStyle w:val="9"/>
              <w:jc w:val="center"/>
              <w:rPr>
                <w:rFonts w:hint="default" w:asciiTheme="majorEastAsia" w:hAnsiTheme="majorEastAsia" w:eastAsiaTheme="majorEastAsia" w:cstheme="minorBidi"/>
                <w:color w:val="auto"/>
                <w:kern w:val="2"/>
                <w:sz w:val="20"/>
                <w:szCs w:val="20"/>
                <w:lang w:val="en-US" w:eastAsia="zh-CN"/>
              </w:rPr>
            </w:pPr>
            <w:r>
              <w:rPr>
                <w:rFonts w:hint="eastAsia" w:asciiTheme="majorEastAsia" w:hAnsiTheme="majorEastAsia" w:eastAsiaTheme="majorEastAsia" w:cstheme="minorBidi"/>
                <w:color w:val="auto"/>
                <w:kern w:val="2"/>
                <w:sz w:val="20"/>
                <w:szCs w:val="20"/>
                <w:lang w:val="en-US" w:eastAsia="zh-CN"/>
              </w:rPr>
              <w:t>四川大学</w:t>
            </w:r>
          </w:p>
        </w:tc>
        <w:tc>
          <w:tcPr>
            <w:tcW w:w="1843" w:type="dxa"/>
            <w:vAlign w:val="center"/>
          </w:tcPr>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lang w:val="en-US" w:eastAsia="zh-CN"/>
              </w:rPr>
              <w:t>四川大学</w:t>
            </w:r>
          </w:p>
        </w:tc>
        <w:tc>
          <w:tcPr>
            <w:tcW w:w="4217" w:type="dxa"/>
            <w:vAlign w:val="center"/>
          </w:tcPr>
          <w:p>
            <w:pPr>
              <w:pStyle w:val="9"/>
              <w:jc w:val="center"/>
              <w:rPr>
                <w:rFonts w:hint="eastAsia"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全面指导和参与本项目的实施和推广，对全部创新点（1,2,3,4,5,6）均</w:t>
            </w:r>
          </w:p>
          <w:p>
            <w:pPr>
              <w:pStyle w:val="9"/>
              <w:jc w:val="center"/>
              <w:rPr>
                <w:rFonts w:hint="eastAsia"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作出重要贡献，发表相关论文 50 篇，其中 SCI38 篇。研究成果收到国内外同行认可，</w:t>
            </w:r>
          </w:p>
          <w:p>
            <w:pPr>
              <w:pStyle w:val="9"/>
              <w:jc w:val="center"/>
              <w:rPr>
                <w:rFonts w:asciiTheme="majorEastAsia" w:hAnsiTheme="majorEastAsia" w:eastAsiaTheme="majorEastAsia" w:cstheme="minorBidi"/>
                <w:color w:val="auto"/>
                <w:kern w:val="2"/>
                <w:sz w:val="20"/>
                <w:szCs w:val="20"/>
              </w:rPr>
            </w:pPr>
            <w:r>
              <w:rPr>
                <w:rFonts w:hint="eastAsia" w:asciiTheme="majorEastAsia" w:hAnsiTheme="majorEastAsia" w:eastAsiaTheme="majorEastAsia" w:cstheme="minorBidi"/>
                <w:color w:val="auto"/>
                <w:kern w:val="2"/>
                <w:sz w:val="20"/>
                <w:szCs w:val="20"/>
              </w:rPr>
              <w:t>在国内外大会上发言，培养研究生、进修医生数十名。</w:t>
            </w:r>
          </w:p>
        </w:tc>
      </w:tr>
    </w:tbl>
    <w:p>
      <w:pPr>
        <w:pStyle w:val="9"/>
        <w:rPr>
          <w:rFonts w:asciiTheme="majorEastAsia" w:hAnsiTheme="majorEastAsia" w:eastAsiaTheme="majorEastAsia" w:cstheme="minorBidi"/>
          <w:color w:val="auto"/>
          <w:kern w:val="2"/>
          <w:sz w:val="20"/>
          <w:szCs w:val="20"/>
        </w:rPr>
      </w:pPr>
    </w:p>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三、主要科技创新</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 1：腹腔内注射二乙基亚硝胺诱发建立猪的肝癌动物模型。</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肝癌建模通常在小鼠、兔进行，但由于动物体型较小，用于外科手术和介入治疗手段的科学研究较为困难。传统方法采用喂养二乙基亚硝胺的方法建立猪的肝癌模型，但该方法具有不少的缺点，包括建模周期长（5 年）、动物死亡率高、诱发肿瘤细胞类型不纯（除肝癌外还有 Kupffer-cell 肉瘤、胆管细胞癌等）、瘤株生长部位多（比如淋巴结、肺）的缺点。本方法建模所需时间短（13-15 个月），无动物死亡，诱发的肿瘤更符合人肝细胞癌的病理、影像及临床特点，包括形成肝硬化并在此基础上形成多中心起源的肝细胞肝癌、组织学和影像学特点与人的肝细胞肝癌类似，能模拟诱发形成早期或中期肝癌、诱发的肝细胞癌主要以肝动脉供血、同时具有动脉期明显强化的特点，没有诱发出其它组织学类型的肿瘤、没有在其它部位诱发出肿瘤，为肝癌的外科、介入治疗的实验动物研究提供了更好的肝癌动物模型，具有国际领先水平。</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 2：重组人腺病毒 p53 基因联合 TACE 治疗中晚期肝癌。</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中晚期原发性肝癌缺乏有效的治疗手段，单用 TACE 治疗 1 年生存率 20-30%左右。重组人腺病毒 p53 基因（Gendicine）是全世界首个批准上市的肿瘤基因治疗药物，批准适应症为头颈部肿瘤。项目团队将该药在首先应用在治疗原发性肝癌上，通在肝动脉内注射 p53 基因联合 TACE 治疗，总有效率（完全缓解+部分缓解）由单独应用 TACE 治疗的 26.5%提高到 58.3%，1 年生存率由 24.2%提高到 43.3%，提高了患者总体生存时间和治疗效果。用 ELISA 法定量测定肝癌患者首诊时血清 p53 抗体的水平，发现肝癌患者血清 p53 抗体阳性率 29.4%(20／68)。单因素分析显示，血清 p53 抗体阳性与肿瘤分化程度低、肝外转移、肿瘤分期晚、血管侵犯有关。多因素分析则提示肝外转移与 p53 抗体阳性有关。</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创新点3：放射性I 131 治疗中晚期原发性肝癌。</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创新性的将放射性 I 131 同肝癌细胞特异性抗体（HAb18F(ab’)2 片段）结合，通过单抗特异性识别肝癌细胞膜特有抗原，抗原抗体结合，I 131 在分子水平，近距离对肝癌细胞进行持续性放射杀伤，在并未显著增加副反应的前提下，将中晚期肝癌的一年生存率提高了接近一倍，由 34.4%提高到 60.49%。并且显著提高了患者的生活质量。掌握了临床应用的具体技术路线，包括适应症、禁忌症、联合治疗策略、随访方案等。该技术是我国具有自主知识产权，全球首个上市的放射免疫制剂。</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 4 创新性应用 PET/CT 早期监测评价肝细胞肝癌治疗后的糖代谢变化的分子影像研究。</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肝癌治疗后复发转移、局部治疗后残留是主要死亡原因。常规检查方法难以早期诊断评价，以至很多复发转移、残留病灶无法早期诊断或被漏诊，病情延误到晚期。复发转移的早期诊断已成为进一步提高肝癌生存率的一个瓶颈，也是攻克癌症最重要的难关之一。18F-FDGPET/CT 糖代谢分子影像技术是 2000 年后开始在全球范围内进入临床使用的新技术，虽然其在多种恶性肿瘤的应用价值已得到肯定，但对于肝癌复发转移的早期诊断价值一直未能确立，原因在于国内外均缺乏相关的系统性研究。研究应用18F-FDGPET/CT 糖代谢分子影像技术，对 165 例治疗后肝癌进行早期疗效监测，系统评价术后复发转移、局部治疗后肿瘤活性、静脉癌栓的糖代谢分子影像变化特点及其临床意义。本项目团队率先提出：对于肝癌治疗后复发转移灶，常规 CT/MRI 影像的病灶形态学改变不明显，不能做出正确判断，18F-FDGPET/CT 能（1）早期揭示并全身性准确评价复发转移状态；（2）能早期、有效评估局部治疗后肿瘤活性变化，精确引导补救性治疗；（3）能准确诊断静脉栓子性质，明确癌栓累及血管情况，判断有无血栓形成，为治疗决策提供依据。</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 5：CT 动态灌注成像等影像检查技术更准确地评价肝癌介入治疗的疗效。</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对于没有 PET/CT 检查条件的医疗单位，根据本项目团队对兔肝 VX2 肿瘤动物模型的实验研究和临床研究得出的结果，首次提出（1）可以采用 CT 动态灌注成像的方法评价肝癌治疗疗果，发现原发性肝癌在 TACE 治疗后病灶血流灌注有显著改变，同时 CT灌注参数、MRI 弥散成像参数（ADC，D，f 值等）、肿瘤血管生成相关因子如 VEGF 及HIF-1α水平出现明显变化，这些指标可以敏感评价肝癌 TACE 治疗疗效，并用于后续治疗方案的选择；（2）CT 能有效评价肝癌经 TACE 治疗术后瘤体表现为低密度区域的血供状态，创新性地通过多层螺旋 CT 增强扫描将原发性肝癌 TACE 术后残留肿瘤组织的血供分为四种类型：肝动脉供血为主型、门静脉供血为主型、双重供血型、乏血供型。此前无任何学者采用这一分型模式，这四种分型简单易判断，对原发性肝癌 TACE 术后患者后续治疗措施的选择提供了可靠的依据。</w:t>
      </w:r>
    </w:p>
    <w:p>
      <w:pPr>
        <w:spacing w:line="400" w:lineRule="atLeast"/>
        <w:ind w:firstLine="480" w:firstLineChars="200"/>
        <w:rPr>
          <w:rFonts w:hint="eastAsia" w:ascii="宋体" w:hAnsi="宋体" w:eastAsia="宋体" w:cs="宋体"/>
          <w:sz w:val="24"/>
        </w:rPr>
      </w:pPr>
      <w:r>
        <w:rPr>
          <w:rFonts w:hint="eastAsia" w:ascii="宋体" w:hAnsi="宋体" w:eastAsia="宋体" w:cs="宋体"/>
          <w:sz w:val="24"/>
        </w:rPr>
        <w:t>创新点 6：采用足头向穿刺路径对膈顶部肝癌进行热消融治疗。</w:t>
      </w:r>
    </w:p>
    <w:p>
      <w:pPr>
        <w:jc w:val="center"/>
        <w:rPr>
          <w:rFonts w:hint="eastAsia" w:ascii="方正小标宋_GBK" w:hAnsi="方正小标宋_GBK" w:eastAsia="方正小标宋_GBK" w:cs="方正小标宋_GBK"/>
          <w:sz w:val="28"/>
          <w:szCs w:val="28"/>
          <w:lang w:val="en-US" w:eastAsia="zh-CN"/>
        </w:rPr>
      </w:pPr>
      <w:r>
        <w:rPr>
          <w:rFonts w:hint="eastAsia" w:ascii="宋体" w:hAnsi="宋体" w:eastAsia="宋体" w:cs="宋体"/>
          <w:sz w:val="24"/>
        </w:rPr>
        <w:t>膈顶部肿瘤由于临近膈肌、肺组织，热消融容易出现出血、膈肌破裂等并发症，一直是肝癌热消融的难点所在。国内目前对于膈顶部肝肿瘤的消融主要集中在常规轴位穿刺路径结合增加消融安全性的措施、采用特殊引导设备方面，且未能满意解决该问题。国内未见有采用足头向穿刺路径对该部位肝癌进行穿刺消融及 CT 测量的报道。本项目组采用该路径在 CT 引导下从足端向头端穿刺，避开了膈肌、肺组织阻挡，在临床应用中证实具有消融区域与瘤体适形性好、不经过膈肌、不需要增加额外设备的投入的优点，很好地解决了膈下肝癌病灶的热消融风险大、肿瘤容易残留的问题，达到了国内创新的标准</w:t>
      </w:r>
      <w:r>
        <w:rPr>
          <w:rFonts w:hint="eastAsia" w:ascii="宋体" w:hAnsi="宋体" w:eastAsia="宋体" w:cs="宋体"/>
          <w:sz w:val="24"/>
          <w:lang w:eastAsia="zh-CN"/>
        </w:rPr>
        <w:t>。</w:t>
      </w:r>
    </w:p>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四、主要完成单位</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98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排名</w:t>
            </w:r>
          </w:p>
        </w:tc>
        <w:tc>
          <w:tcPr>
            <w:tcW w:w="9887" w:type="dxa"/>
          </w:tcPr>
          <w:p>
            <w:pPr>
              <w:pStyle w:val="9"/>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完成单位名称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9887"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四川大学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9887"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成都中医药大学附属医院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9887"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厦门大学附属第一医院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9887" w:type="dxa"/>
          </w:tcPr>
          <w:p>
            <w:pPr>
              <w:pStyle w:val="9"/>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川北医学院附属医院</w:t>
            </w:r>
          </w:p>
        </w:tc>
      </w:tr>
    </w:tbl>
    <w:p>
      <w:pPr>
        <w:pStyle w:val="9"/>
        <w:ind w:firstLine="426" w:firstLineChars="213"/>
        <w:rPr>
          <w:rFonts w:asciiTheme="minorEastAsia" w:hAnsiTheme="minorEastAsia" w:eastAsiaTheme="minorEastAsia"/>
          <w:sz w:val="20"/>
          <w:szCs w:val="20"/>
        </w:rPr>
      </w:pPr>
    </w:p>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五、主要知识产权和标准规范等目录</w:t>
      </w:r>
    </w:p>
    <w:tbl>
      <w:tblPr>
        <w:tblStyle w:val="4"/>
        <w:tblW w:w="109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95"/>
        <w:gridCol w:w="1501"/>
        <w:gridCol w:w="962"/>
        <w:gridCol w:w="1138"/>
        <w:gridCol w:w="1138"/>
        <w:gridCol w:w="1281"/>
        <w:gridCol w:w="1247"/>
        <w:gridCol w:w="1315"/>
        <w:gridCol w:w="1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tcBorders>
              <w:tl2br w:val="nil"/>
              <w:tr2bl w:val="nil"/>
            </w:tcBorders>
            <w:vAlign w:val="center"/>
          </w:tcPr>
          <w:p>
            <w:pPr>
              <w:spacing w:line="240" w:lineRule="exact"/>
              <w:jc w:val="center"/>
              <w:rPr>
                <w:rFonts w:ascii="宋体" w:hAnsi="宋体"/>
                <w:b/>
                <w:bCs/>
                <w:color w:val="000000" w:themeColor="text1"/>
              </w:rPr>
            </w:pPr>
            <w:r>
              <w:rPr>
                <w:rFonts w:ascii="宋体" w:hAnsi="宋体"/>
                <w:b/>
                <w:bCs/>
                <w:color w:val="000000" w:themeColor="text1"/>
              </w:rPr>
              <w:t>知识产权</w:t>
            </w:r>
            <w:r>
              <w:rPr>
                <w:rFonts w:hint="eastAsia" w:ascii="宋体" w:hAnsi="宋体"/>
                <w:b/>
                <w:bCs/>
                <w:color w:val="000000" w:themeColor="text1"/>
              </w:rPr>
              <w:t>（标准）</w:t>
            </w:r>
            <w:r>
              <w:rPr>
                <w:rFonts w:ascii="宋体" w:hAnsi="宋体"/>
                <w:b/>
                <w:bCs/>
                <w:color w:val="000000" w:themeColor="text1"/>
              </w:rPr>
              <w:t>类别</w:t>
            </w:r>
          </w:p>
        </w:tc>
        <w:tc>
          <w:tcPr>
            <w:tcW w:w="1501"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知识产权（标准）具体</w:t>
            </w:r>
            <w:r>
              <w:rPr>
                <w:rFonts w:ascii="宋体" w:hAnsi="宋体"/>
                <w:b/>
                <w:bCs/>
                <w:color w:val="000000" w:themeColor="text1"/>
              </w:rPr>
              <w:t>名称</w:t>
            </w:r>
          </w:p>
        </w:tc>
        <w:tc>
          <w:tcPr>
            <w:tcW w:w="962" w:type="dxa"/>
            <w:tcBorders>
              <w:tl2br w:val="nil"/>
              <w:tr2bl w:val="nil"/>
            </w:tcBorders>
            <w:vAlign w:val="center"/>
          </w:tcPr>
          <w:p>
            <w:pPr>
              <w:spacing w:line="240" w:lineRule="exact"/>
              <w:jc w:val="center"/>
              <w:rPr>
                <w:rFonts w:ascii="宋体" w:hAnsi="宋体"/>
                <w:b/>
                <w:bCs/>
                <w:color w:val="000000" w:themeColor="text1"/>
              </w:rPr>
            </w:pPr>
            <w:r>
              <w:rPr>
                <w:rFonts w:ascii="宋体" w:hAnsi="宋体"/>
                <w:b/>
                <w:bCs/>
                <w:color w:val="000000" w:themeColor="text1"/>
              </w:rPr>
              <w:t>国</w:t>
            </w:r>
            <w:r>
              <w:rPr>
                <w:rFonts w:hint="eastAsia" w:ascii="宋体" w:hAnsi="宋体"/>
                <w:b/>
                <w:bCs/>
                <w:color w:val="000000" w:themeColor="text1"/>
              </w:rPr>
              <w:t>家</w:t>
            </w:r>
          </w:p>
          <w:p>
            <w:pPr>
              <w:spacing w:line="240" w:lineRule="exact"/>
              <w:jc w:val="center"/>
              <w:rPr>
                <w:rFonts w:ascii="宋体" w:hAnsi="宋体"/>
                <w:b/>
                <w:bCs/>
                <w:color w:val="000000" w:themeColor="text1"/>
              </w:rPr>
            </w:pPr>
            <w:r>
              <w:rPr>
                <w:rFonts w:ascii="宋体" w:hAnsi="宋体"/>
                <w:b/>
                <w:bCs/>
                <w:color w:val="000000" w:themeColor="text1"/>
              </w:rPr>
              <w:t>（</w:t>
            </w:r>
            <w:r>
              <w:rPr>
                <w:rFonts w:hint="eastAsia" w:ascii="宋体" w:hAnsi="宋体"/>
                <w:b/>
                <w:bCs/>
                <w:color w:val="000000" w:themeColor="text1"/>
              </w:rPr>
              <w:t>地</w:t>
            </w:r>
            <w:r>
              <w:rPr>
                <w:rFonts w:ascii="宋体" w:hAnsi="宋体"/>
                <w:b/>
                <w:bCs/>
                <w:color w:val="000000" w:themeColor="text1"/>
              </w:rPr>
              <w:t>区）</w:t>
            </w:r>
          </w:p>
        </w:tc>
        <w:tc>
          <w:tcPr>
            <w:tcW w:w="1138"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授权号（标准编号）</w:t>
            </w:r>
          </w:p>
        </w:tc>
        <w:tc>
          <w:tcPr>
            <w:tcW w:w="1138"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授权（标准发布）日期</w:t>
            </w:r>
          </w:p>
        </w:tc>
        <w:tc>
          <w:tcPr>
            <w:tcW w:w="1281"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证书编号</w:t>
            </w:r>
            <w:r>
              <w:rPr>
                <w:rFonts w:ascii="宋体" w:hAnsi="宋体"/>
                <w:b/>
                <w:bCs/>
                <w:color w:val="000000" w:themeColor="text1"/>
              </w:rPr>
              <w:br w:type="textWrapping"/>
            </w:r>
            <w:r>
              <w:rPr>
                <w:rFonts w:hint="eastAsia" w:ascii="宋体" w:hAnsi="宋体"/>
                <w:b/>
                <w:bCs/>
                <w:color w:val="000000" w:themeColor="text1"/>
              </w:rPr>
              <w:t>（标准批准发布</w:t>
            </w:r>
            <w:r>
              <w:rPr>
                <w:rFonts w:ascii="宋体" w:hAnsi="宋体"/>
                <w:b/>
                <w:bCs/>
                <w:color w:val="000000" w:themeColor="text1"/>
              </w:rPr>
              <w:t>部门</w:t>
            </w:r>
            <w:r>
              <w:rPr>
                <w:rFonts w:hint="eastAsia" w:ascii="宋体" w:hAnsi="宋体"/>
                <w:b/>
                <w:bCs/>
                <w:color w:val="000000" w:themeColor="text1"/>
              </w:rPr>
              <w:t>）</w:t>
            </w:r>
          </w:p>
        </w:tc>
        <w:tc>
          <w:tcPr>
            <w:tcW w:w="1247"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权利人（标准起草单位）</w:t>
            </w:r>
          </w:p>
        </w:tc>
        <w:tc>
          <w:tcPr>
            <w:tcW w:w="1315"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发明人（标准起草人）</w:t>
            </w:r>
          </w:p>
        </w:tc>
        <w:tc>
          <w:tcPr>
            <w:tcW w:w="1106" w:type="dxa"/>
            <w:tcBorders>
              <w:tl2br w:val="nil"/>
              <w:tr2bl w:val="nil"/>
            </w:tcBorders>
            <w:vAlign w:val="center"/>
          </w:tcPr>
          <w:p>
            <w:pPr>
              <w:spacing w:line="240" w:lineRule="exact"/>
              <w:jc w:val="center"/>
              <w:rPr>
                <w:rFonts w:ascii="宋体" w:hAnsi="宋体"/>
                <w:b/>
                <w:bCs/>
                <w:color w:val="000000" w:themeColor="text1"/>
              </w:rPr>
            </w:pPr>
            <w:r>
              <w:rPr>
                <w:rFonts w:hint="eastAsia" w:ascii="宋体" w:hAnsi="宋体"/>
                <w:b/>
                <w:bCs/>
                <w:color w:val="000000" w:themeColor="text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tcBorders>
              <w:tl2br w:val="nil"/>
              <w:tr2bl w:val="nil"/>
            </w:tcBorders>
          </w:tcPr>
          <w:p>
            <w:pPr>
              <w:spacing w:line="240" w:lineRule="exact"/>
              <w:jc w:val="left"/>
              <w:rPr>
                <w:rFonts w:hint="eastAsia" w:ascii="宋体" w:hAnsi="宋体"/>
                <w:color w:val="000000" w:themeColor="text1"/>
                <w:sz w:val="24"/>
              </w:rPr>
            </w:pPr>
            <w:r>
              <w:rPr>
                <w:rFonts w:hint="eastAsia" w:ascii="宋体" w:hAnsi="宋体"/>
                <w:color w:val="000000" w:themeColor="text1"/>
                <w:sz w:val="24"/>
              </w:rPr>
              <w:t>实用新型</w:t>
            </w:r>
          </w:p>
          <w:p>
            <w:pPr>
              <w:spacing w:line="240" w:lineRule="exact"/>
              <w:jc w:val="left"/>
              <w:rPr>
                <w:rFonts w:ascii="宋体" w:hAnsi="宋体"/>
                <w:color w:val="000000" w:themeColor="text1"/>
                <w:sz w:val="24"/>
              </w:rPr>
            </w:pPr>
            <w:r>
              <w:rPr>
                <w:rFonts w:hint="eastAsia" w:ascii="宋体" w:hAnsi="宋体"/>
                <w:color w:val="000000" w:themeColor="text1"/>
                <w:sz w:val="24"/>
              </w:rPr>
              <w:t>专利</w:t>
            </w:r>
          </w:p>
        </w:tc>
        <w:tc>
          <w:tcPr>
            <w:tcW w:w="1501" w:type="dxa"/>
            <w:tcBorders>
              <w:tl2br w:val="nil"/>
              <w:tr2bl w:val="nil"/>
            </w:tcBorders>
          </w:tcPr>
          <w:p>
            <w:pPr>
              <w:spacing w:line="240" w:lineRule="exact"/>
              <w:jc w:val="left"/>
              <w:rPr>
                <w:rFonts w:hint="eastAsia" w:ascii="宋体" w:hAnsi="宋体"/>
                <w:color w:val="000000" w:themeColor="text1"/>
                <w:sz w:val="24"/>
              </w:rPr>
            </w:pPr>
            <w:r>
              <w:rPr>
                <w:rFonts w:hint="eastAsia" w:ascii="宋体" w:hAnsi="宋体"/>
                <w:color w:val="000000" w:themeColor="text1"/>
                <w:sz w:val="24"/>
              </w:rPr>
              <w:t>一种用于股</w:t>
            </w:r>
          </w:p>
          <w:p>
            <w:pPr>
              <w:spacing w:line="240" w:lineRule="exact"/>
              <w:jc w:val="left"/>
              <w:rPr>
                <w:rFonts w:hint="eastAsia" w:ascii="宋体" w:hAnsi="宋体"/>
                <w:color w:val="000000" w:themeColor="text1"/>
                <w:sz w:val="24"/>
              </w:rPr>
            </w:pPr>
            <w:r>
              <w:rPr>
                <w:rFonts w:hint="eastAsia" w:ascii="宋体" w:hAnsi="宋体"/>
                <w:color w:val="000000" w:themeColor="text1"/>
                <w:sz w:val="24"/>
              </w:rPr>
              <w:t>动脉穿刺点</w:t>
            </w:r>
          </w:p>
          <w:p>
            <w:pPr>
              <w:spacing w:line="240" w:lineRule="exact"/>
              <w:jc w:val="left"/>
              <w:rPr>
                <w:rFonts w:hint="eastAsia" w:ascii="宋体" w:hAnsi="宋体"/>
                <w:color w:val="000000" w:themeColor="text1"/>
                <w:sz w:val="24"/>
              </w:rPr>
            </w:pPr>
            <w:r>
              <w:rPr>
                <w:rFonts w:hint="eastAsia" w:ascii="宋体" w:hAnsi="宋体"/>
                <w:color w:val="000000" w:themeColor="text1"/>
                <w:sz w:val="24"/>
              </w:rPr>
              <w:t>压迫止血 的</w:t>
            </w:r>
          </w:p>
          <w:p>
            <w:pPr>
              <w:spacing w:line="240" w:lineRule="exact"/>
              <w:jc w:val="left"/>
              <w:rPr>
                <w:rFonts w:ascii="宋体" w:hAnsi="宋体"/>
                <w:color w:val="000000" w:themeColor="text1"/>
                <w:sz w:val="24"/>
              </w:rPr>
            </w:pPr>
            <w:r>
              <w:rPr>
                <w:rFonts w:hint="eastAsia" w:ascii="宋体" w:hAnsi="宋体"/>
                <w:color w:val="000000" w:themeColor="text1"/>
                <w:sz w:val="24"/>
              </w:rPr>
              <w:t>弹力绷带</w:t>
            </w:r>
          </w:p>
        </w:tc>
        <w:tc>
          <w:tcPr>
            <w:tcW w:w="962" w:type="dxa"/>
            <w:tcBorders>
              <w:tl2br w:val="nil"/>
              <w:tr2bl w:val="nil"/>
            </w:tcBorders>
          </w:tcPr>
          <w:p>
            <w:pPr>
              <w:spacing w:line="240" w:lineRule="exact"/>
              <w:jc w:val="left"/>
              <w:rPr>
                <w:rFonts w:hint="default" w:ascii="宋体" w:hAnsi="宋体" w:eastAsiaTheme="minorEastAsia"/>
                <w:color w:val="000000" w:themeColor="text1"/>
                <w:sz w:val="24"/>
                <w:lang w:val="en-US" w:eastAsia="zh-CN"/>
              </w:rPr>
            </w:pPr>
            <w:r>
              <w:rPr>
                <w:rFonts w:hint="eastAsia" w:ascii="宋体" w:hAnsi="宋体"/>
                <w:color w:val="000000" w:themeColor="text1"/>
                <w:sz w:val="24"/>
                <w:lang w:val="en-US" w:eastAsia="zh-CN"/>
              </w:rPr>
              <w:t>中国</w:t>
            </w:r>
          </w:p>
        </w:tc>
        <w:tc>
          <w:tcPr>
            <w:tcW w:w="1138" w:type="dxa"/>
            <w:tcBorders>
              <w:tl2br w:val="nil"/>
              <w:tr2bl w:val="nil"/>
            </w:tcBorders>
          </w:tcPr>
          <w:p>
            <w:pPr>
              <w:spacing w:line="240" w:lineRule="exact"/>
              <w:jc w:val="left"/>
              <w:rPr>
                <w:rFonts w:hint="eastAsia" w:ascii="宋体" w:hAnsi="宋体"/>
                <w:color w:val="000000" w:themeColor="text1"/>
                <w:sz w:val="24"/>
              </w:rPr>
            </w:pPr>
            <w:r>
              <w:rPr>
                <w:rFonts w:hint="eastAsia" w:ascii="宋体" w:hAnsi="宋体"/>
                <w:color w:val="000000" w:themeColor="text1"/>
                <w:sz w:val="24"/>
              </w:rPr>
              <w:t>ZL</w:t>
            </w:r>
          </w:p>
          <w:p>
            <w:pPr>
              <w:spacing w:line="240" w:lineRule="exact"/>
              <w:jc w:val="left"/>
              <w:rPr>
                <w:rFonts w:hint="eastAsia" w:ascii="宋体" w:hAnsi="宋体"/>
                <w:color w:val="000000" w:themeColor="text1"/>
                <w:sz w:val="24"/>
              </w:rPr>
            </w:pPr>
            <w:r>
              <w:rPr>
                <w:rFonts w:hint="eastAsia" w:ascii="宋体" w:hAnsi="宋体"/>
                <w:color w:val="000000" w:themeColor="text1"/>
                <w:sz w:val="24"/>
              </w:rPr>
              <w:t>2014 2</w:t>
            </w:r>
          </w:p>
          <w:p>
            <w:pPr>
              <w:spacing w:line="240" w:lineRule="exact"/>
              <w:jc w:val="left"/>
              <w:rPr>
                <w:rFonts w:hint="eastAsia" w:ascii="宋体" w:hAnsi="宋体"/>
                <w:color w:val="000000" w:themeColor="text1"/>
                <w:sz w:val="24"/>
              </w:rPr>
            </w:pPr>
            <w:r>
              <w:rPr>
                <w:rFonts w:hint="eastAsia" w:ascii="宋体" w:hAnsi="宋体"/>
                <w:color w:val="000000" w:themeColor="text1"/>
                <w:sz w:val="24"/>
              </w:rPr>
              <w:t>040368</w:t>
            </w:r>
          </w:p>
          <w:p>
            <w:pPr>
              <w:spacing w:line="240" w:lineRule="exact"/>
              <w:jc w:val="left"/>
              <w:rPr>
                <w:rFonts w:ascii="宋体" w:hAnsi="宋体"/>
                <w:color w:val="000000" w:themeColor="text1"/>
                <w:sz w:val="24"/>
              </w:rPr>
            </w:pPr>
            <w:r>
              <w:rPr>
                <w:rFonts w:hint="eastAsia" w:ascii="宋体" w:hAnsi="宋体"/>
                <w:color w:val="000000" w:themeColor="text1"/>
                <w:sz w:val="24"/>
              </w:rPr>
              <w:t>7.9</w:t>
            </w:r>
          </w:p>
        </w:tc>
        <w:tc>
          <w:tcPr>
            <w:tcW w:w="1138" w:type="dxa"/>
            <w:tcBorders>
              <w:tl2br w:val="nil"/>
              <w:tr2bl w:val="nil"/>
            </w:tcBorders>
          </w:tcPr>
          <w:p>
            <w:pPr>
              <w:spacing w:line="240" w:lineRule="exact"/>
              <w:jc w:val="left"/>
              <w:rPr>
                <w:rFonts w:hint="eastAsia" w:ascii="宋体" w:hAnsi="宋体"/>
                <w:color w:val="000000" w:themeColor="text1"/>
                <w:sz w:val="24"/>
              </w:rPr>
            </w:pPr>
            <w:r>
              <w:rPr>
                <w:rFonts w:hint="eastAsia" w:ascii="宋体" w:hAnsi="宋体"/>
                <w:color w:val="000000" w:themeColor="text1"/>
                <w:sz w:val="24"/>
              </w:rPr>
              <w:t>2014-12-</w:t>
            </w:r>
          </w:p>
          <w:p>
            <w:pPr>
              <w:spacing w:line="240" w:lineRule="exact"/>
              <w:jc w:val="left"/>
              <w:rPr>
                <w:rFonts w:ascii="宋体" w:hAnsi="宋体"/>
                <w:color w:val="000000" w:themeColor="text1"/>
                <w:sz w:val="24"/>
              </w:rPr>
            </w:pPr>
            <w:r>
              <w:rPr>
                <w:rFonts w:hint="eastAsia" w:ascii="宋体" w:hAnsi="宋体"/>
                <w:color w:val="000000" w:themeColor="text1"/>
                <w:sz w:val="24"/>
              </w:rPr>
              <w:t>10</w:t>
            </w:r>
          </w:p>
        </w:tc>
        <w:tc>
          <w:tcPr>
            <w:tcW w:w="1281" w:type="dxa"/>
            <w:tcBorders>
              <w:tl2br w:val="nil"/>
              <w:tr2bl w:val="nil"/>
            </w:tcBorders>
          </w:tcPr>
          <w:p>
            <w:pPr>
              <w:spacing w:line="240" w:lineRule="exact"/>
              <w:jc w:val="left"/>
              <w:rPr>
                <w:rFonts w:ascii="宋体" w:hAnsi="宋体"/>
                <w:color w:val="000000" w:themeColor="text1"/>
                <w:sz w:val="24"/>
              </w:rPr>
            </w:pPr>
            <w:r>
              <w:rPr>
                <w:rFonts w:hint="eastAsia" w:ascii="宋体" w:hAnsi="宋体"/>
                <w:color w:val="000000" w:themeColor="text1"/>
                <w:sz w:val="24"/>
              </w:rPr>
              <w:t xml:space="preserve">3965749 </w:t>
            </w:r>
          </w:p>
        </w:tc>
        <w:tc>
          <w:tcPr>
            <w:tcW w:w="1247" w:type="dxa"/>
            <w:tcBorders>
              <w:tl2br w:val="nil"/>
              <w:tr2bl w:val="nil"/>
            </w:tcBorders>
          </w:tcPr>
          <w:p>
            <w:pPr>
              <w:spacing w:line="240" w:lineRule="exact"/>
              <w:jc w:val="left"/>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刘源</w:t>
            </w:r>
          </w:p>
        </w:tc>
        <w:tc>
          <w:tcPr>
            <w:tcW w:w="1315" w:type="dxa"/>
            <w:tcBorders>
              <w:tl2br w:val="nil"/>
              <w:tr2bl w:val="nil"/>
            </w:tcBorders>
          </w:tcPr>
          <w:p>
            <w:pPr>
              <w:spacing w:line="240" w:lineRule="exact"/>
              <w:jc w:val="left"/>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刘源</w:t>
            </w:r>
          </w:p>
        </w:tc>
        <w:tc>
          <w:tcPr>
            <w:tcW w:w="1106" w:type="dxa"/>
            <w:tcBorders>
              <w:tl2br w:val="nil"/>
              <w:tr2bl w:val="nil"/>
            </w:tcBorders>
          </w:tcPr>
          <w:p>
            <w:pPr>
              <w:spacing w:line="240" w:lineRule="exact"/>
              <w:jc w:val="left"/>
              <w:rPr>
                <w:rFonts w:hint="eastAsia" w:ascii="宋体" w:hAnsi="宋体" w:eastAsiaTheme="minorEastAsia"/>
                <w:color w:val="000000" w:themeColor="text1"/>
                <w:sz w:val="24"/>
                <w:lang w:val="en-US" w:eastAsia="zh-CN"/>
              </w:rPr>
            </w:pPr>
            <w:r>
              <w:rPr>
                <w:rFonts w:hint="eastAsia" w:ascii="宋体" w:hAnsi="宋体"/>
                <w:color w:val="000000" w:themeColor="text1"/>
                <w:sz w:val="24"/>
                <w:lang w:val="en-US" w:eastAsia="zh-CN"/>
              </w:rPr>
              <w:t>有效</w:t>
            </w:r>
          </w:p>
        </w:tc>
      </w:tr>
    </w:tbl>
    <w:p>
      <w:pPr>
        <w:pStyle w:val="9"/>
        <w:ind w:firstLine="426" w:firstLineChars="213"/>
        <w:rPr>
          <w:rFonts w:asciiTheme="minorEastAsia" w:hAnsiTheme="minorEastAsia" w:eastAsiaTheme="minorEastAsia"/>
          <w:sz w:val="20"/>
          <w:szCs w:val="20"/>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3E15B73A-A63F-4513-8438-915DB4A959EC}"/>
  </w:font>
  <w:font w:name="方正小标宋_GBK">
    <w:panose1 w:val="02000000000000000000"/>
    <w:charset w:val="86"/>
    <w:family w:val="auto"/>
    <w:pitch w:val="default"/>
    <w:sig w:usb0="A00002BF" w:usb1="38CF7CFA" w:usb2="00082016" w:usb3="00000000" w:csb0="00040001" w:csb1="00000000"/>
    <w:embedRegular r:id="rId2" w:fontKey="{B361744F-BE50-43E2-953D-C12698C335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3627"/>
    <w:rsid w:val="00014631"/>
    <w:rsid w:val="00017FB5"/>
    <w:rsid w:val="000355C9"/>
    <w:rsid w:val="0006780C"/>
    <w:rsid w:val="00070AA1"/>
    <w:rsid w:val="00077874"/>
    <w:rsid w:val="00083F1C"/>
    <w:rsid w:val="000A7DB9"/>
    <w:rsid w:val="000C62B9"/>
    <w:rsid w:val="000D79F5"/>
    <w:rsid w:val="00154B79"/>
    <w:rsid w:val="001804FC"/>
    <w:rsid w:val="00184268"/>
    <w:rsid w:val="00186D57"/>
    <w:rsid w:val="001A7547"/>
    <w:rsid w:val="001B2AEE"/>
    <w:rsid w:val="001B6E73"/>
    <w:rsid w:val="001E1453"/>
    <w:rsid w:val="00223627"/>
    <w:rsid w:val="002331F6"/>
    <w:rsid w:val="0027481E"/>
    <w:rsid w:val="00274E69"/>
    <w:rsid w:val="002A6664"/>
    <w:rsid w:val="002A6F3A"/>
    <w:rsid w:val="00321478"/>
    <w:rsid w:val="00330375"/>
    <w:rsid w:val="00351AD4"/>
    <w:rsid w:val="003A0738"/>
    <w:rsid w:val="003A1789"/>
    <w:rsid w:val="003A44C3"/>
    <w:rsid w:val="003A5D31"/>
    <w:rsid w:val="003B04EF"/>
    <w:rsid w:val="003C776B"/>
    <w:rsid w:val="003E6A6A"/>
    <w:rsid w:val="003F78EB"/>
    <w:rsid w:val="004012E5"/>
    <w:rsid w:val="004157D4"/>
    <w:rsid w:val="0042429D"/>
    <w:rsid w:val="00481E01"/>
    <w:rsid w:val="00494961"/>
    <w:rsid w:val="004A0759"/>
    <w:rsid w:val="004A5D4C"/>
    <w:rsid w:val="004B3114"/>
    <w:rsid w:val="005661FA"/>
    <w:rsid w:val="00587A34"/>
    <w:rsid w:val="005B01AE"/>
    <w:rsid w:val="005B76D3"/>
    <w:rsid w:val="005E4AAC"/>
    <w:rsid w:val="00653A54"/>
    <w:rsid w:val="0066520C"/>
    <w:rsid w:val="006872D1"/>
    <w:rsid w:val="006902EE"/>
    <w:rsid w:val="006E4030"/>
    <w:rsid w:val="006F55F5"/>
    <w:rsid w:val="00702FF7"/>
    <w:rsid w:val="00751D31"/>
    <w:rsid w:val="00785CD9"/>
    <w:rsid w:val="007C4AEA"/>
    <w:rsid w:val="007D7D90"/>
    <w:rsid w:val="00803E8A"/>
    <w:rsid w:val="00841387"/>
    <w:rsid w:val="008554CB"/>
    <w:rsid w:val="00882503"/>
    <w:rsid w:val="008A3100"/>
    <w:rsid w:val="008B7715"/>
    <w:rsid w:val="008D55A3"/>
    <w:rsid w:val="00912FBA"/>
    <w:rsid w:val="00947EC9"/>
    <w:rsid w:val="009566D2"/>
    <w:rsid w:val="009604B4"/>
    <w:rsid w:val="009771BC"/>
    <w:rsid w:val="00977811"/>
    <w:rsid w:val="00991EEA"/>
    <w:rsid w:val="009A4ED9"/>
    <w:rsid w:val="009F43E7"/>
    <w:rsid w:val="00A41DDD"/>
    <w:rsid w:val="00A54F74"/>
    <w:rsid w:val="00A86DDF"/>
    <w:rsid w:val="00A91D69"/>
    <w:rsid w:val="00A95939"/>
    <w:rsid w:val="00AC7A87"/>
    <w:rsid w:val="00B274BB"/>
    <w:rsid w:val="00B5681F"/>
    <w:rsid w:val="00B80123"/>
    <w:rsid w:val="00BC6737"/>
    <w:rsid w:val="00BE5288"/>
    <w:rsid w:val="00C13782"/>
    <w:rsid w:val="00C1762D"/>
    <w:rsid w:val="00C27201"/>
    <w:rsid w:val="00C64ED5"/>
    <w:rsid w:val="00C83A05"/>
    <w:rsid w:val="00C840EF"/>
    <w:rsid w:val="00CA1203"/>
    <w:rsid w:val="00CB6360"/>
    <w:rsid w:val="00CC0D0E"/>
    <w:rsid w:val="00CE2E5B"/>
    <w:rsid w:val="00CE6D54"/>
    <w:rsid w:val="00D10055"/>
    <w:rsid w:val="00D166CD"/>
    <w:rsid w:val="00D56474"/>
    <w:rsid w:val="00D95FE5"/>
    <w:rsid w:val="00DA6E68"/>
    <w:rsid w:val="00E16229"/>
    <w:rsid w:val="00E314BF"/>
    <w:rsid w:val="00E94616"/>
    <w:rsid w:val="00EC7524"/>
    <w:rsid w:val="00F15AFC"/>
    <w:rsid w:val="00F363BD"/>
    <w:rsid w:val="00F640C5"/>
    <w:rsid w:val="00F75003"/>
    <w:rsid w:val="092570C8"/>
    <w:rsid w:val="0EC55535"/>
    <w:rsid w:val="3D402C20"/>
    <w:rsid w:val="5D680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p15"/>
    <w:basedOn w:val="1"/>
    <w:qFormat/>
    <w:uiPriority w:val="0"/>
    <w:pPr>
      <w:widowControl/>
    </w:pPr>
    <w:rPr>
      <w:rFonts w:ascii="宋体" w:hAnsi="宋体" w:eastAsia="宋体" w:cs="宋体"/>
      <w:b/>
      <w:bC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57</Words>
  <Characters>326</Characters>
  <Lines>2</Lines>
  <Paragraphs>1</Paragraphs>
  <TotalTime>2</TotalTime>
  <ScaleCrop>false</ScaleCrop>
  <LinksUpToDate>false</LinksUpToDate>
  <CharactersWithSpaces>382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2015-08-09T07:45:00Z</dcterms:created>
  <dc:creator>Windows 用户</dc:creator>
  <cp:lastModifiedBy>一周下雨很良快</cp:lastModifiedBy>
  <dcterms:modified xsi:type="dcterms:W3CDTF">2020-06-18T02:06:32Z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